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Numer sprawy: PPN 05/</w:t>
      </w:r>
      <w:r>
        <w:rPr>
          <w:rFonts w:eastAsia="SimSun" w:cs="Times New Roman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20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 xml:space="preserve">      </w:t>
      </w:r>
      <w:r>
        <w:rPr>
          <w:rFonts w:cs="Times New Roman" w:ascii="Palatino Linotype" w:hAnsi="Palatino Linotype"/>
          <w:sz w:val="24"/>
          <w:szCs w:val="24"/>
          <w:lang w:val="pl-PL"/>
        </w:rPr>
        <w:t xml:space="preserve">                                                Grajewo, dnia </w:t>
      </w:r>
      <w:r>
        <w:rPr>
          <w:rFonts w:eastAsia="SimSun" w:cs="Times New Roman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18.08.</w:t>
      </w:r>
      <w:r>
        <w:rPr>
          <w:rFonts w:cs="Times New Roman" w:ascii="Palatino Linotype" w:hAnsi="Palatino Linotype"/>
          <w:sz w:val="24"/>
          <w:szCs w:val="24"/>
          <w:lang w:val="pl-PL"/>
        </w:rPr>
        <w:t>2020 r.</w:t>
      </w:r>
    </w:p>
    <w:p>
      <w:pPr>
        <w:pStyle w:val="Normal"/>
        <w:spacing w:lineRule="auto" w:line="24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4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4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WARUNKI  UDZIAŁU  W  PISEMNYM  PRZETARGU  NIEOGRANICZONYM</w:t>
      </w:r>
    </w:p>
    <w:p>
      <w:pPr>
        <w:pStyle w:val="Normal"/>
        <w:rPr/>
      </w:pPr>
      <w:r>
        <w:rPr>
          <w:rFonts w:cs="Times New Roman" w:ascii="Palatino Linotype" w:hAnsi="Palatino Linotype"/>
          <w:b/>
          <w:bCs/>
          <w:sz w:val="24"/>
          <w:szCs w:val="24"/>
          <w:u w:val="none"/>
        </w:rPr>
        <w:t xml:space="preserve">na 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</w:rPr>
        <w:t>„</w:t>
      </w:r>
      <w:bookmarkStart w:id="0" w:name="__DdeLink__240_3014619430"/>
      <w:bookmarkStart w:id="1" w:name="__DdeLink__285_1225179806"/>
      <w:bookmarkEnd w:id="1"/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Najem 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 xml:space="preserve">401 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>m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  <w:vertAlign w:val="superscript"/>
        </w:rPr>
        <w:t>2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powierzchni użytkowej z przeznaczeniem na usługi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>medyczne</w:t>
      </w:r>
      <w:bookmarkEnd w:id="0"/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</w:rPr>
        <w:t>”</w:t>
      </w:r>
    </w:p>
    <w:p>
      <w:pPr>
        <w:pStyle w:val="Normal"/>
        <w:spacing w:lineRule="auto" w:line="240"/>
        <w:jc w:val="center"/>
        <w:rPr>
          <w:rFonts w:ascii="Palatino Linotype" w:hAnsi="Palatino Linotype" w:cs="Times New Roman"/>
          <w:b/>
          <w:b/>
          <w:bCs/>
          <w:sz w:val="24"/>
          <w:szCs w:val="24"/>
          <w:u w:val="none"/>
        </w:rPr>
      </w:pPr>
      <w:r>
        <w:rPr>
          <w:rFonts w:cs="Times New Roman" w:ascii="Palatino Linotype" w:hAnsi="Palatino Linotype"/>
          <w:b/>
          <w:bCs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lang w:eastAsia="pl-PL"/>
        </w:rPr>
        <w:t xml:space="preserve">Podstawa prawna: 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sz w:val="24"/>
          <w:szCs w:val="24"/>
          <w:lang w:eastAsia="pl-PL"/>
        </w:rPr>
        <w:t xml:space="preserve">art.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54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ust.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i ust. 2  ustawy z dnia 15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kwietnia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r. 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działalności leczniczej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(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Dz. U. 2020 poz. 295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>).</w:t>
      </w:r>
    </w:p>
    <w:p>
      <w:pPr>
        <w:pStyle w:val="Normal"/>
        <w:spacing w:lineRule="auto" w:line="36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none"/>
          <w:lang w:eastAsia="pl-PL"/>
        </w:rPr>
        <w:t xml:space="preserve">I.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single"/>
          <w:lang w:eastAsia="pl-PL"/>
        </w:rPr>
        <w:t>PRZEDMIOT I WARUNKI UDZIELENIA ZAMÓWIENIA</w:t>
      </w:r>
    </w:p>
    <w:p>
      <w:pPr>
        <w:pStyle w:val="Normal"/>
        <w:numPr>
          <w:ilvl w:val="0"/>
          <w:numId w:val="6"/>
        </w:numPr>
        <w:rPr/>
      </w:pPr>
      <w:r>
        <w:rPr>
          <w:rFonts w:cs="Times New Roman" w:ascii="Palatino Linotype" w:hAnsi="Palatino Linotype"/>
          <w:b w:val="false"/>
          <w:bCs w:val="false"/>
          <w:color w:val="auto"/>
          <w:sz w:val="24"/>
          <w:szCs w:val="24"/>
        </w:rPr>
        <w:t xml:space="preserve">Przedmiotem pisemnego przetargu nieograniczonego jest </w:t>
      </w:r>
      <w:bookmarkStart w:id="2" w:name="__DdeLink__1631_3067407702"/>
      <w:r>
        <w:rPr>
          <w:rFonts w:cs="Times New Roman" w:ascii="Palatino Linotype" w:hAnsi="Palatino Linotype"/>
          <w:b/>
          <w:bCs/>
          <w:color w:val="auto"/>
          <w:sz w:val="24"/>
          <w:szCs w:val="24"/>
        </w:rPr>
        <w:t xml:space="preserve">najem 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</w:rPr>
        <w:t xml:space="preserve"> </w:t>
      </w:r>
      <w:r>
        <w:rPr>
          <w:rFonts w:eastAsia="SimSun" w:cs="Mangal" w:ascii="Palatino Linotype" w:hAnsi="Palatino Linotype"/>
          <w:b/>
          <w:bCs/>
          <w:color w:val="000000"/>
          <w:kern w:val="0"/>
          <w:sz w:val="24"/>
          <w:szCs w:val="24"/>
          <w:lang w:val="pl-PL" w:eastAsia="zh-CN" w:bidi="hi-IN"/>
        </w:rPr>
        <w:t xml:space="preserve">401 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</w:rPr>
        <w:t>m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vertAlign w:val="superscript"/>
        </w:rPr>
        <w:t>2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 powierzchni użytkowej z przeznaczeniem na usługi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 xml:space="preserve">medyczne zlokalizowanej </w:t>
      </w:r>
      <w:r>
        <w:rPr>
          <w:rFonts w:eastAsia="SimSun" w:cs="Times New Roman" w:ascii="Palatino Linotype" w:hAnsi="Palatino Linotype"/>
          <w:b/>
          <w:bCs/>
          <w:color w:val="auto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>na czwa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>rtym piętrze b</w:t>
      </w:r>
      <w:r>
        <w:rPr>
          <w:rFonts w:eastAsia="SimSun" w:cs="Times New Roman" w:ascii="Palatino Linotype" w:hAnsi="Palatino Linotype"/>
          <w:b/>
          <w:bCs/>
          <w:color w:val="auto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>udynku „A” Szpita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>la</w:t>
      </w:r>
      <w:bookmarkEnd w:id="2"/>
      <w:r>
        <w:rPr>
          <w:rFonts w:cs="Times New Roman" w:ascii="Palatino Linotype" w:hAnsi="Palatino Linotype"/>
          <w:b/>
          <w:bCs/>
          <w:color w:val="auto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Palatino Linotype" w:hAnsi="Palatino Linotype"/>
          <w:b w:val="false"/>
          <w:bCs w:val="false"/>
          <w:color w:val="auto"/>
          <w:sz w:val="24"/>
          <w:szCs w:val="24"/>
        </w:rPr>
        <w:t xml:space="preserve">Miesięczna wartość czynszu brutto nie może być niższa niż </w:t>
      </w:r>
      <w:r>
        <w:rPr>
          <w:rFonts w:eastAsia="SimSun" w:cs="Times New Roman" w:ascii="Palatino Linotype" w:hAnsi="Palatino Linotype"/>
          <w:b/>
          <w:bCs/>
          <w:color w:val="auto"/>
          <w:kern w:val="0"/>
          <w:sz w:val="24"/>
          <w:szCs w:val="24"/>
          <w:lang w:val="pl-PL" w:eastAsia="zh-CN" w:bidi="hi-IN"/>
        </w:rPr>
        <w:t xml:space="preserve">10.601,55 </w:t>
      </w:r>
      <w:r>
        <w:rPr>
          <w:rFonts w:cs="Times New Roman" w:ascii="Palatino Linotype" w:hAnsi="Palatino Linotype"/>
          <w:b/>
          <w:bCs/>
          <w:color w:val="auto"/>
          <w:sz w:val="24"/>
          <w:szCs w:val="24"/>
        </w:rPr>
        <w:t>zł</w:t>
      </w:r>
      <w:r>
        <w:rPr>
          <w:rFonts w:cs="Times New Roman" w:ascii="Palatino Linotype" w:hAnsi="Palatino Linotype"/>
          <w:b/>
          <w:bCs/>
          <w:color w:val="C9211E"/>
          <w:sz w:val="24"/>
          <w:szCs w:val="24"/>
        </w:rPr>
        <w:t xml:space="preserve"> </w:t>
      </w:r>
      <w:r>
        <w:rPr>
          <w:rFonts w:eastAsia="SimSun" w:cs="Times New Roman" w:ascii="Palatino Linotype" w:hAnsi="Palatino Linotype"/>
          <w:b/>
          <w:bCs/>
          <w:color w:val="C9211E"/>
          <w:kern w:val="0"/>
          <w:sz w:val="24"/>
          <w:szCs w:val="24"/>
          <w:lang w:val="pl-PL" w:eastAsia="zh-CN" w:bidi="hi-IN"/>
        </w:rPr>
        <w:t>brutto</w:t>
      </w:r>
      <w:r>
        <w:rPr>
          <w:rFonts w:cs="Times New Roman" w:ascii="Palatino Linotype" w:hAnsi="Palatino Linotype"/>
          <w:b/>
          <w:bCs/>
          <w:color w:val="C9211E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>
          <w:b w:val="false"/>
          <w:b w:val="false"/>
          <w:bCs w:val="false"/>
          <w:color w:val="C9211E"/>
        </w:rPr>
      </w:pPr>
      <w:r>
        <w:rPr>
          <w:rFonts w:cs="Times New Roman" w:ascii="Palatino Linotype" w:hAnsi="Palatino Linotype"/>
          <w:b w:val="false"/>
          <w:bCs w:val="false"/>
          <w:color w:val="auto"/>
          <w:sz w:val="24"/>
          <w:szCs w:val="24"/>
        </w:rPr>
        <w:t>Ustalona stawka czynszu miesięcznego podlega corocznej waloryzacji. Waloryzacji dokonuje się przy zastosowaniu wskaźników cen towarów i usług konsumpcyjnych ogłaszanych przez Prezesa Głównego Urzędu Statystycznego, w drodze obwieszczeń, w Dzienniku Urzędowym Rzeczypospolitej Polskiej „Monitor Polski”.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Palatino Linotype" w:hAnsi="Palatino Linotype"/>
          <w:b w:val="false"/>
          <w:bCs w:val="false"/>
          <w:color w:val="auto"/>
          <w:sz w:val="24"/>
          <w:szCs w:val="24"/>
        </w:rPr>
        <w:t>Kwota ta nie zawiera opłat eksploatacyjnych, które będą dodatkowo obciążały Najemcę, takich jak:</w:t>
      </w:r>
    </w:p>
    <w:p>
      <w:pPr>
        <w:pStyle w:val="Normal"/>
        <w:widowControl/>
        <w:numPr>
          <w:ilvl w:val="0"/>
          <w:numId w:val="9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eastAsia="pl-PL"/>
        </w:rPr>
        <w:t>energia elektryczna i cieplna, dostawa wody, wywóz odpadów komunalnych i odprowadzanie ścieków – co stanowić będzie po 2,6% wartości  miesięcznych faktur, wystawi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pl-PL" w:bidi="hi-IN"/>
        </w:rPr>
        <w:t xml:space="preserve">anych 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eastAsia="pl-PL"/>
        </w:rPr>
        <w:t xml:space="preserve"> przez 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pl-PL" w:bidi="hi-IN"/>
        </w:rPr>
        <w:t>dostawców i odbiorców;</w:t>
      </w:r>
    </w:p>
    <w:p>
      <w:pPr>
        <w:pStyle w:val="Normal"/>
        <w:widowControl/>
        <w:numPr>
          <w:ilvl w:val="0"/>
          <w:numId w:val="9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eastAsia="pl-PL"/>
        </w:rPr>
        <w:t xml:space="preserve"> 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eastAsia="pl-PL"/>
        </w:rPr>
        <w:t>podatku od nieruchomości – co stanowić będzie 2,15% wartości, wynikającej z decyzji/deklaracji podatkowej.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>Najemca zobowiązany będzie do: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/>
        <w:ind w:left="737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przeprowadzania bieżących remontów i napraw po konsultacjach z Wynajmującym,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/>
        <w:ind w:left="737" w:right="0" w:hanging="340"/>
        <w:jc w:val="both"/>
        <w:rPr/>
      </w:pPr>
      <w:r>
        <w:rPr>
          <w:rFonts w:cs="Times New Roman" w:ascii="Palatino Linotype" w:hAnsi="Palatino Linotype"/>
          <w:sz w:val="24"/>
          <w:szCs w:val="24"/>
        </w:rPr>
        <w:t>pokrycia kosztów adaptacji najmowanej powierzchni po konsultacjach z Wynajmującym,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/>
        <w:ind w:left="737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pokrycia kosztów powstałych szkód w mieniu Wynajmującego,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/>
        <w:ind w:left="737" w:right="0" w:hanging="34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>dostosowania działalności do ogólnie obowiązujących przepisów w tym zakresie.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</w:rPr>
        <w:t xml:space="preserve">6. W postępowaniu mogą wziąć udział oferenci, którzy prowadzą działalność handlową lub usługową z branży </w:t>
      </w:r>
      <w:r>
        <w:rPr>
          <w:rFonts w:eastAsia="SimSun" w:cs="Mangal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medycznej</w:t>
      </w:r>
      <w:r>
        <w:rPr>
          <w:rFonts w:ascii="Palatino Linotype" w:hAnsi="Palatino Linotype"/>
        </w:rPr>
        <w:t xml:space="preserve">, przez co najmniej </w:t>
      </w:r>
      <w:r>
        <w:rPr>
          <w:rFonts w:eastAsia="SimSun" w:cs="Mangal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3</w:t>
      </w:r>
      <w:r>
        <w:rPr>
          <w:rFonts w:ascii="Palatino Linotype" w:hAnsi="Palatino Linotype"/>
        </w:rPr>
        <w:t xml:space="preserve"> lata, licząc wstecz od ogłoszenia przetargu.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</w:rPr>
        <w:t xml:space="preserve">Wynajmujący przekaże  Najemcy </w:t>
      </w:r>
      <w:r>
        <w:rPr>
          <w:rFonts w:eastAsia="SimSun" w:cs="Mangal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powierzchnię</w:t>
      </w:r>
      <w:r>
        <w:rPr>
          <w:rFonts w:ascii="Palatino Linotype" w:hAnsi="Palatino Linotype"/>
        </w:rPr>
        <w:t xml:space="preserve"> bez wyposażenia.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  <w:b w:val="false"/>
          <w:bCs w:val="false"/>
          <w:color w:val="auto"/>
        </w:rPr>
        <w:t>7. Wymagany termin  najmu wynosi</w:t>
      </w:r>
      <w:r>
        <w:rPr>
          <w:rFonts w:ascii="Palatino Linotype" w:hAnsi="Palatino Linotype"/>
          <w:b w:val="false"/>
          <w:bCs w:val="false"/>
          <w:color w:val="C9211E"/>
        </w:rPr>
        <w:t xml:space="preserve"> </w:t>
      </w:r>
      <w:r>
        <w:rPr>
          <w:rFonts w:ascii="Palatino Linotype" w:hAnsi="Palatino Linotype"/>
          <w:b w:val="false"/>
          <w:bCs w:val="false"/>
          <w:color w:val="C9211E"/>
        </w:rPr>
        <w:t>10</w:t>
      </w:r>
      <w:r>
        <w:rPr>
          <w:rFonts w:eastAsia="SimSun" w:cs="Mangal" w:ascii="Palatino Linotype" w:hAnsi="Palatino Linotype"/>
          <w:b w:val="false"/>
          <w:bCs w:val="false"/>
          <w:color w:val="C9211E"/>
          <w:kern w:val="0"/>
          <w:sz w:val="24"/>
          <w:szCs w:val="24"/>
          <w:lang w:val="pl-PL" w:eastAsia="zh-CN" w:bidi="hi-IN"/>
        </w:rPr>
        <w:t xml:space="preserve"> lat</w:t>
      </w:r>
      <w:r>
        <w:rPr>
          <w:rFonts w:ascii="Palatino Linotype" w:hAnsi="Palatino Linotype"/>
          <w:b w:val="false"/>
          <w:bCs w:val="false"/>
          <w:color w:val="auto"/>
        </w:rPr>
        <w:t xml:space="preserve"> od dnia podpisania umowy.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  <w:b w:val="false"/>
          <w:bCs w:val="false"/>
          <w:color w:val="auto"/>
        </w:rPr>
        <w:t xml:space="preserve">8. </w:t>
      </w:r>
      <w:r>
        <w:rPr>
          <w:rFonts w:ascii="Palatino Linotype" w:hAnsi="Palatino Linotype"/>
        </w:rPr>
        <w:t>Wynajmujący nie wymaga wniesienia wadium.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</w:rPr>
        <w:t>9. Strony związane są z ofert</w:t>
      </w:r>
      <w:r>
        <w:rPr>
          <w:rFonts w:eastAsia="SimSun" w:cs="Mangal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ą</w:t>
      </w:r>
      <w:r>
        <w:rPr>
          <w:rFonts w:ascii="Palatino Linotype" w:hAnsi="Palatino Linotype"/>
        </w:rPr>
        <w:t xml:space="preserve"> 30 dni od upływu terminu składania ofert.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</w:rPr>
        <w:t xml:space="preserve">10. Prawa i obowiązki Najemcy i Wynajmującego określa wzór umowy stanowiący </w:t>
      </w:r>
      <w:r>
        <w:rPr>
          <w:rFonts w:ascii="Palatino Linotype" w:hAnsi="Palatino Linotype"/>
          <w:b/>
          <w:bCs/>
        </w:rPr>
        <w:t>Załącznik nr 2.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11.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 </w:t>
      </w: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Przetarg jest ważny bez względu na liczbę uczestników, jeżeli chociaż jeden uczestnik zaoferuje cenę równą lub wyższą od ceny wywoławczej.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12. Wynajmujący zastrzega sobie prawo do odwołania niniejszego przetargu, zamknięcia przetargu bez wybrania jakiejkolwiek z ofert lub unieważnienia przetargu bez podania przyczyny oraz/lub do przesunięcia terminu składania ofert i ich rozstrzygnięcia bez podania przyczyn w każdym czasie.</w:t>
      </w:r>
    </w:p>
    <w:p>
      <w:pPr>
        <w:pStyle w:val="Normal"/>
        <w:widowControl/>
        <w:tabs>
          <w:tab w:val="clear" w:pos="709"/>
          <w:tab w:val="left" w:pos="735" w:leader="none"/>
        </w:tabs>
        <w:suppressAutoHyphens w:val="true"/>
        <w:bidi w:val="0"/>
        <w:spacing w:lineRule="auto" w:line="360"/>
        <w:ind w:left="397" w:right="0" w:hanging="0"/>
        <w:jc w:val="both"/>
        <w:rPr>
          <w:rFonts w:ascii="Palatino Linotype" w:hAnsi="Palatino Linotype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ind w:left="0" w:right="0" w:hanging="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lang w:eastAsia="pl-PL"/>
        </w:rPr>
        <w:t xml:space="preserve">II.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single"/>
          <w:lang w:eastAsia="pl-PL"/>
        </w:rPr>
        <w:t>SPOSÓB PRZYGOTOWANIA OFERTY ORAZ WARUNKI WYMAGANE OD</w:t>
        <w:br/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none"/>
          <w:lang w:eastAsia="pl-PL"/>
        </w:rPr>
        <w:t xml:space="preserve">      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single"/>
          <w:lang w:eastAsia="pl-PL"/>
        </w:rPr>
        <w:t>OFERENTÓW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none"/>
          <w:lang w:eastAsia="pl-PL"/>
        </w:rPr>
        <w:t xml:space="preserve"> 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>W celu uczestniczenia w przetargu Oferenci zobowiązani  są do złożenia Wynajmującemu: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 xml:space="preserve">wypełniony Formularz ofertowy wraz z oświadczeniami stanowiący 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Załącznik nr 1 </w:t>
      </w: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do niniejszych warunków,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 xml:space="preserve">zaparafowany wzór umowy stanowiący 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Załącznik nr 2 </w:t>
      </w: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do niniejszych warunków</w:t>
      </w:r>
      <w:r>
        <w:rPr>
          <w:rFonts w:cs="Times New Roman" w:ascii="Palatino Linotype" w:hAnsi="Palatino Linotype"/>
          <w:b/>
          <w:bCs/>
          <w:sz w:val="24"/>
          <w:szCs w:val="24"/>
        </w:rPr>
        <w:t>,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 xml:space="preserve">Oferenci planujący prowadzenie w budynku działalności w ramach spółki cywilnej, składają wspólną ofertę jako osoby fizyczne, z tym że stosują dopisek, iż są zainteresowani rozliczaniem się jako spółka cywilna. Do oferty należy dołączyć oświadczenie, stanowiące </w:t>
      </w:r>
      <w:r>
        <w:rPr>
          <w:rFonts w:cs="Times New Roman" w:ascii="Palatino Linotype" w:hAnsi="Palatino Linotype"/>
          <w:b/>
          <w:bCs/>
          <w:sz w:val="24"/>
          <w:szCs w:val="24"/>
        </w:rPr>
        <w:t>Załącznik nr 3</w:t>
      </w:r>
      <w:r>
        <w:rPr>
          <w:rFonts w:cs="Times New Roman" w:ascii="Palatino Linotype" w:hAnsi="Palatino Linotype"/>
          <w:sz w:val="24"/>
          <w:szCs w:val="24"/>
        </w:rPr>
        <w:t xml:space="preserve"> odrębnie dla każdego ze wspólników, a także oświadczenie zawierające dane spółki cywilnej (nazwa spółki cywilnej, adres siedziby spółki cywilnej, NIP, REGON). Wynajmujący wymaga przed podpisaniem umowy z Najemcą, okazania umowy spółki cywilnej,</w:t>
      </w:r>
    </w:p>
    <w:p>
      <w:pPr>
        <w:pStyle w:val="Tretekstu"/>
        <w:widowControl/>
        <w:numPr>
          <w:ilvl w:val="0"/>
          <w:numId w:val="8"/>
        </w:numPr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 w:val="false"/>
          <w:color w:val="000000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 </w:t>
      </w:r>
      <w:r>
        <w:rPr>
          <w:rFonts w:cs="Times New Roman" w:ascii="Palatino Linotype" w:hAnsi="Palatino Linotype"/>
          <w:sz w:val="24"/>
          <w:szCs w:val="24"/>
        </w:rPr>
        <w:t xml:space="preserve">stwierdzający stan prawny, miejsce i charakter działalności gospodarczej </w:t>
      </w:r>
      <w:r>
        <w:rPr>
          <w:rFonts w:cs="Times New Roman" w:ascii="Palatino Linotype" w:hAnsi="Palatino Linotype"/>
          <w:b/>
          <w:bCs/>
          <w:sz w:val="24"/>
          <w:szCs w:val="24"/>
        </w:rPr>
        <w:t>wystawiony nie wcześniej niż 6 miesięcy przed upływem terminu składania ofert.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Oferta, wszelkie dokumenty i oświadczenia </w:t>
      </w:r>
      <w:r>
        <w:rPr>
          <w:rFonts w:cs="TimesNewRomanPSMT" w:ascii="Palatino Linotype" w:hAnsi="Palatino Linotype"/>
          <w:sz w:val="24"/>
        </w:rPr>
        <w:t>mają być sporządzone w języku polskim oraz</w:t>
      </w:r>
      <w:r>
        <w:rPr>
          <w:rFonts w:cs="Times New Roman" w:ascii="Palatino Linotype" w:hAnsi="Palatino Linotype"/>
          <w:b w:val="false"/>
          <w:i w:val="false"/>
          <w:color w:val="000000"/>
          <w:sz w:val="24"/>
          <w:szCs w:val="24"/>
        </w:rPr>
        <w:t xml:space="preserve"> wymagają podpisu osób uprawnionych do reprezentowania firmy w obrocie gospodarczym, zgodnie z aktem rejestracyjnym oraz przepisami prawa.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cs="Times New Roman" w:ascii="Palatino Linotype" w:hAnsi="Palatino Linotype"/>
          <w:b w:val="false"/>
          <w:i w:val="false"/>
          <w:color w:val="000000"/>
          <w:sz w:val="24"/>
          <w:szCs w:val="24"/>
        </w:rPr>
        <w:t>Oferta podpisana przez upoważnionego przedstawiciela Oferenta wymaga załączenia właściwego pełnomocnictwa lub umocowania prawnego.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Palatino Linotype" w:hAnsi="Palatino Linotype"/>
          <w:b w:val="false"/>
          <w:color w:val="000000"/>
          <w:sz w:val="24"/>
          <w:szCs w:val="24"/>
        </w:rPr>
        <w:t>Dokumenty w niniejszym postępowaniu mogą być składane w oryginale lub kopii poświadczonej za zgodność z oryginałem przez Oferenta lub osobę/osoby uprawnione do podpisania oferty z dopiskiem "za zgodność z oryginałem".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Brak któregokolwiek z dokumentów (oświadczeń) wymienionych w niniejszych warunkach skutkować będzie odrzuceniem oferty o ile oferent nie uzupełni dokumentów na wezwanie Wynajmującego.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Dokumenty sporządzone w języku obcym składa się wraz z tłumaczeniem na język polski.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Wszelkie zmiany oraz poprawki w tekście oferty muszą być parafowane własnoręcznie przez Oferenta lub upoważnionego przedstawiciela.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Każda strona oferty powinna być ponumerowana i musi zawierać spis oświadczeń, i dokumentów stanowiących załączniki do oferty.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olor w:val="000000"/>
          <w:sz w:val="24"/>
          <w:szCs w:val="24"/>
        </w:rPr>
      </w:pPr>
      <w:r>
        <w:rPr>
          <w:rFonts w:cs="Times New Roman" w:ascii="Palatino Linotype" w:hAnsi="Palatino Linotype"/>
          <w:b w:val="false"/>
          <w:bCs w:val="false"/>
          <w:i w:val="false"/>
          <w:color w:val="000000"/>
          <w:sz w:val="24"/>
          <w:szCs w:val="24"/>
        </w:rPr>
        <w:t>Wszystkie strony oferty powinny być spięte (zszyte) w sposób trwały, zapobiegający możliwości dekompletacji zawartości oferty.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 xml:space="preserve">Oferent może złożyć tylko jedną ofertę.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>III.</w:t>
      </w:r>
      <w:r>
        <w:rPr>
          <w:rFonts w:cs="Times New Roman" w:ascii="Palatino Linotype" w:hAnsi="Palatino Linotype"/>
          <w:sz w:val="24"/>
          <w:szCs w:val="24"/>
        </w:rPr>
        <w:t xml:space="preserve">  </w:t>
      </w: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MIEJSCE I TERMIN SKŁADANIA I OTWARCIA OFERT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ascii="Palatino Linotype" w:hAnsi="Palatino Linotype"/>
          <w:sz w:val="24"/>
          <w:szCs w:val="24"/>
        </w:rPr>
        <w:t xml:space="preserve">Ofertę w zapieczętowanej lub zaklejonej taśmą przeźroczystą kopercie należy złożyć w siedzibie Wynajmującego (sekretariat - pokój nr 110) lub przesłać na adres Szpitala w terminie </w:t>
      </w:r>
      <w:r>
        <w:rPr>
          <w:rFonts w:ascii="Palatino Linotype" w:hAnsi="Palatino Linotype"/>
          <w:b/>
          <w:sz w:val="24"/>
          <w:szCs w:val="24"/>
        </w:rPr>
        <w:t xml:space="preserve">do dnia </w:t>
      </w:r>
      <w:r>
        <w:rPr>
          <w:rFonts w:eastAsia="SimSun" w:cs="Mangal" w:ascii="Palatino Linotype" w:hAnsi="Palatino Linotype"/>
          <w:b/>
          <w:color w:val="00000A"/>
          <w:kern w:val="0"/>
          <w:sz w:val="24"/>
          <w:szCs w:val="24"/>
          <w:lang w:val="pl-PL" w:eastAsia="zh-CN" w:bidi="hi-IN"/>
        </w:rPr>
        <w:t>27.08.</w:t>
      </w:r>
      <w:r>
        <w:rPr>
          <w:rFonts w:ascii="Palatino Linotype" w:hAnsi="Palatino Linotype"/>
          <w:b/>
          <w:sz w:val="24"/>
          <w:szCs w:val="24"/>
        </w:rPr>
        <w:t>2020 r. do godziny 9:30.</w:t>
      </w:r>
      <w:r>
        <w:rPr>
          <w:rFonts w:ascii="Palatino Linotype" w:hAnsi="Palatino Linotype"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cs="Times New Roman" w:ascii="Palatino Linotype" w:hAnsi="Palatino Linotype"/>
          <w:sz w:val="24"/>
          <w:szCs w:val="24"/>
        </w:rPr>
        <w:t xml:space="preserve">Na kopercie należy umieścić: dane (nazwę) oferenta, dokładny adres </w:t>
      </w:r>
      <w:r>
        <w:rPr>
          <w:rFonts w:eastAsia="SimSun" w:cs="Times New Roman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o</w:t>
      </w:r>
      <w:r>
        <w:rPr>
          <w:rFonts w:cs="Times New Roman" w:ascii="Palatino Linotype" w:hAnsi="Palatino Linotype"/>
          <w:sz w:val="24"/>
          <w:szCs w:val="24"/>
        </w:rPr>
        <w:t xml:space="preserve">ferenta oraz napis określający przedmiot postępowania: 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</w:rPr>
        <w:t>„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Najem 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 xml:space="preserve">401 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>m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  <w:vertAlign w:val="superscript"/>
        </w:rPr>
        <w:t>2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powierzchni użytkowej z przeznaczeniem na usługi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>medyczne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</w:rPr>
        <w:t>”, n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ie otwierać do dnia </w:t>
      </w:r>
      <w:r>
        <w:rPr>
          <w:rFonts w:eastAsia="SimSun" w:cs="Times New Roman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27.08.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2020 r. do godz. 10:00, numer sprawy: PPN 05/20. 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cs="Times New Roman" w:ascii="Palatino Linotype" w:hAnsi="Palatino Linotype"/>
          <w:b/>
          <w:bCs/>
          <w:sz w:val="24"/>
          <w:szCs w:val="24"/>
        </w:rPr>
        <w:t xml:space="preserve">Otwarcie ofert nastąpi w dniu </w:t>
      </w:r>
      <w:r>
        <w:rPr>
          <w:rFonts w:eastAsia="SimSun" w:cs="Times New Roman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27.08.</w:t>
      </w:r>
      <w:r>
        <w:rPr>
          <w:rFonts w:cs="Times New Roman" w:ascii="Palatino Linotype" w:hAnsi="Palatino Linotype"/>
          <w:b/>
          <w:bCs/>
          <w:sz w:val="24"/>
          <w:szCs w:val="24"/>
        </w:rPr>
        <w:t>2020 r. o godz. 10:00 w siedzibie Szpitala – Dział Zamówień Publicznych i Zaopatrzenia - pokój nr 113.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right="0" w:hanging="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 xml:space="preserve">IV. </w:t>
      </w:r>
      <w:r>
        <w:rPr>
          <w:rFonts w:cs="Times New Roman" w:ascii="Palatino Linotype" w:hAnsi="Palatino Linotype"/>
          <w:sz w:val="24"/>
          <w:szCs w:val="24"/>
        </w:rPr>
        <w:t xml:space="preserve"> </w:t>
      </w: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KRYTERIUM I SPOSÓB OCENY OFERT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Przed oceną ofert Wynajmujący sprawdzi formalną stronę uczestnictwa Oferentów</w:t>
        <w:br/>
        <w:t>w postępowaniu i określi, czy każda z ofert spełnia wymagane warunki.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Przy sprawdzaniu, ocenie i porównaniu ofert, Wynajmujący może żądać od Oferentów wyjaśnień dotyczących treści złożonych ofert.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Do wyboru oferty Wynajmujący zastosuje kryterium cena – 100% = 100 pkt.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Maksymalną ilość punktów otrzyma oferta z najwyższą miesięczną wartością czynszu brutto. Pozostałe oferty otrzymają proporcjonalnie mniejsza liczbę punktów obliczoną według poniższego wzoru:</w:t>
      </w:r>
    </w:p>
    <w:tbl>
      <w:tblPr>
        <w:tblW w:w="4004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04"/>
      </w:tblGrid>
      <w:tr>
        <w:trPr/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ind w:left="0" w:righ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C = (Cbad/Cnaj) x 100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ind w:left="0" w:right="0" w:hanging="57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gdzie: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ind w:left="0" w:right="0" w:hanging="57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C - ilość punktów za cenę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ind w:left="0" w:right="0" w:hanging="57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Cbad – cena oferty badanej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  <w:tab w:val="left" w:pos="345" w:leader="none"/>
              </w:tabs>
              <w:suppressAutoHyphens w:val="true"/>
              <w:bidi w:val="0"/>
              <w:spacing w:lineRule="auto" w:line="360"/>
              <w:ind w:left="0" w:right="0" w:hanging="57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alatino Linotype" w:hAnsi="Palatino Linotype"/>
                <w:b/>
                <w:bCs/>
                <w:sz w:val="24"/>
                <w:szCs w:val="24"/>
              </w:rPr>
              <w:t>Cnaj - cena oferty najwyższej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240"/>
        <w:ind w:left="0" w:right="0" w:hanging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Podczas otwarcia ofert  odczytane zostaną nazwy i adresy Oferentów oraz ceny ofert. Oferentom nieobecnym przy otwarciu ofert powyższe dane zostaną przesłane na ich pisemny wniosek.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W przypadku złożenia dwóch lub więcej ofert o tej samej najwyższej cenie przetarg zostanie unieważniony.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 xml:space="preserve">Niezwłocznie po wyborze najkorzystniejszej oferty Wynajmujący zawiadomi Oferentów, którzy złożyli oferty o wyborze najkorzystniejszej oferty, podając nazwę firmy i adres Najemcy, którego ofertę wybrano oraz uzasadnienie jej wyboru. 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cs="Times New Roman" w:ascii="Palatino Linotype" w:hAnsi="Palatino Linotype"/>
          <w:sz w:val="24"/>
          <w:szCs w:val="24"/>
        </w:rPr>
        <w:t>Wynajmujący zamieści informację, o której mowa powyżej na stronie internetowej oraz w siedzibie Wynajmującego na tablicy ogłoszeń.</w:t>
      </w:r>
    </w:p>
    <w:p>
      <w:pPr>
        <w:pStyle w:val="Normal"/>
        <w:widowControl/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right="0" w:hanging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 xml:space="preserve">V. </w:t>
      </w: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UMOWA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cs="Times New Roman" w:ascii="Palatino Linotype" w:hAnsi="Palatino Linotype"/>
          <w:sz w:val="24"/>
          <w:szCs w:val="24"/>
        </w:rPr>
        <w:t>Wynajmujący zawrze umowę z Najemcą, którego oferta została wybrana niezwłocznie po ogłoszeniu wyników postępowania, w przypadku braku skorzystania z uprawnienia z ust. 3 rozdziału V.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O miejscu i terminie podpisania umowy Wynajmujący powiadomi Najemcę odrębnym pismem.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Jeżeli Najemca, którego oferta została wybrana uchyli się od zawarcia umowy, Wynajmujący wybierze najkorzystniejszą ofertę spośród pozostałych ofert uznanych za ważne.</w:t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 w:val="false"/>
          <w:b w:val="false"/>
          <w:bCs w:val="false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Palatino Linotype" w:hAnsi="Palatino Linotype"/>
          <w:b w:val="false"/>
          <w:bCs w:val="false"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 w:val="false"/>
          <w:b w:val="false"/>
          <w:bCs w:val="false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Palatino Linotype" w:hAnsi="Palatino Linotype"/>
          <w:b w:val="false"/>
          <w:bCs w:val="false"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 w:val="false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u w:val="single"/>
          <w:lang w:eastAsia="pl-PL"/>
        </w:rPr>
        <w:t>Załączniki: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lang w:eastAsia="pl-PL"/>
        </w:rPr>
        <w:t>1. Załącznik nr 1 – Formularz ofertowy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lang w:eastAsia="pl-PL"/>
        </w:rPr>
        <w:t>2. Załącznik nr 2 – Wzór umowy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lang w:eastAsia="pl-PL"/>
        </w:rPr>
        <w:t>3. Załącznik nr 3 - Oświadczenie dla spółek cywilnych</w:t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240"/>
        <w:jc w:val="right"/>
        <w:rPr>
          <w:rFonts w:ascii="Palatino Linotype" w:hAnsi="Palatino Linotype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24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16"/>
          <w:szCs w:val="16"/>
          <w:lang w:eastAsia="pl-PL"/>
        </w:rPr>
        <w:tab/>
        <w:tab/>
        <w:tab/>
        <w:tab/>
        <w:tab/>
        <w:tab/>
        <w:tab/>
        <w:t xml:space="preserve">      ZATWIERDZAM WRAZ Z ZAŁĄCZNIKAMI</w:t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</w:rPr>
      </w:pPr>
      <w:r>
        <w:rPr>
          <w:rFonts w:eastAsia="Arial" w:cs="Arial" w:ascii="Palatino Linotype" w:hAnsi="Palatino Linotype"/>
          <w:b/>
          <w:bCs/>
          <w:sz w:val="20"/>
          <w:szCs w:val="20"/>
        </w:rPr>
        <w:tab/>
        <w:tab/>
        <w:tab/>
        <w:tab/>
        <w:tab/>
        <w:tab/>
        <w:tab/>
        <w:tab/>
        <w:t xml:space="preserve">            Dyrektor</w:t>
        <w:tab/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</w:rPr>
      </w:pPr>
      <w:r>
        <w:rPr>
          <w:rFonts w:eastAsia="Arial" w:cs="Arial" w:ascii="Palatino Linotype" w:hAnsi="Palatino Linotype"/>
          <w:b/>
          <w:bCs/>
          <w:sz w:val="20"/>
          <w:szCs w:val="20"/>
        </w:rPr>
        <w:tab/>
        <w:tab/>
        <w:tab/>
        <w:tab/>
        <w:tab/>
        <w:tab/>
        <w:tab/>
        <w:t xml:space="preserve"> Szpitala Ogólnego im. dr Witolda Ginela </w:t>
      </w:r>
    </w:p>
    <w:p>
      <w:pPr>
        <w:pStyle w:val="Normal"/>
        <w:spacing w:lineRule="auto" w:line="240" w:before="100" w:after="100"/>
        <w:jc w:val="center"/>
        <w:rPr>
          <w:rFonts w:ascii="Palatino Linotype" w:hAnsi="Palatino Linotype"/>
        </w:rPr>
      </w:pPr>
      <w:r>
        <w:rPr>
          <w:rFonts w:eastAsia="Arial" w:cs="Arial" w:ascii="Palatino Linotype" w:hAnsi="Palatino Linotype"/>
          <w:b/>
          <w:bCs/>
          <w:sz w:val="20"/>
          <w:szCs w:val="20"/>
        </w:rPr>
        <w:t xml:space="preserve">                                                                         </w:t>
      </w:r>
      <w:r>
        <w:rPr>
          <w:rFonts w:eastAsia="Arial" w:cs="Arial" w:ascii="Palatino Linotype" w:hAnsi="Palatino Linotype"/>
          <w:b/>
          <w:bCs/>
          <w:sz w:val="20"/>
          <w:szCs w:val="20"/>
        </w:rPr>
        <w:tab/>
        <w:t>w Grajewie</w:t>
      </w:r>
    </w:p>
    <w:p>
      <w:pPr>
        <w:pStyle w:val="Normal"/>
        <w:spacing w:lineRule="auto" w:line="240"/>
        <w:jc w:val="both"/>
        <w:rPr>
          <w:rFonts w:ascii="Palatino Linotype" w:hAnsi="Palatino Linotype"/>
        </w:rPr>
      </w:pPr>
      <w:r>
        <w:rPr>
          <w:rFonts w:eastAsia="Arial" w:cs="Arial" w:ascii="Palatino Linotype" w:hAnsi="Palatino Linotype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>
        <w:rPr>
          <w:rFonts w:eastAsia="Arial" w:cs="Arial" w:ascii="Palatino Linotype" w:hAnsi="Palatino Linotype"/>
          <w:b/>
          <w:bCs/>
          <w:color w:val="000000"/>
          <w:sz w:val="20"/>
          <w:szCs w:val="20"/>
          <w:lang w:eastAsia="pl-PL"/>
        </w:rPr>
        <w:tab/>
        <w:tab/>
        <w:t xml:space="preserve">lek. med. </w:t>
      </w:r>
      <w:r>
        <w:rPr>
          <w:rFonts w:eastAsia="Arial" w:cs="Arial" w:ascii="Palatino Linotype" w:hAnsi="Palatino Linotype"/>
          <w:b/>
          <w:bCs/>
          <w:color w:val="000000"/>
          <w:kern w:val="0"/>
          <w:sz w:val="20"/>
          <w:szCs w:val="20"/>
          <w:lang w:val="pl-PL" w:eastAsia="pl-PL" w:bidi="hi-IN"/>
        </w:rPr>
        <w:t>Sebastian Wysocki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Palatino Linotype" w:hAnsi="Palatino Linotype"/>
          <w:b w:val="false"/>
          <w:bCs w:val="false"/>
          <w:color w:val="000000"/>
          <w:sz w:val="24"/>
          <w:szCs w:val="24"/>
          <w:lang w:val="pl-PL" w:eastAsia="pl-PL"/>
        </w:rPr>
        <w:tab/>
        <w:tab/>
        <w:tab/>
        <w:tab/>
        <w:tab/>
        <w:tab/>
        <w:tab/>
        <w:tab/>
        <w:tab/>
        <w:tab/>
        <w:t xml:space="preserve">                     </w:t>
        <w:tab/>
        <w:tab/>
        <w:tab/>
        <w:tab/>
        <w:t xml:space="preserve">                                                           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lang w:val="pl-PL" w:eastAsia="pl-PL"/>
        </w:rPr>
        <w:t>…............................................................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eastAsia="Times New Roman" w:cs="Times New Roman"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11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11"/>
    <w:next w:val="Tretekstu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8Num11z0">
    <w:name w:val="WW8Num11z0"/>
    <w:qFormat/>
    <w:rPr>
      <w:rFonts w:ascii="Times New Roman" w:hAnsi="Times New Roman" w:cs="Times New Roman"/>
      <w:b w:val="false"/>
      <w:bCs w:val="false"/>
      <w:color w:val="auto"/>
      <w:sz w:val="24"/>
      <w:szCs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 w:val="false"/>
      <w:bCs w:val="false"/>
      <w:color w:val="000000"/>
      <w:sz w:val="24"/>
      <w:szCs w:val="24"/>
      <w:lang w:eastAsia="pl-P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WW8Num23z0">
    <w:name w:val="WW8Num23z0"/>
    <w:qFormat/>
    <w:rPr>
      <w:b w:val="fals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Czeinternetowe">
    <w:name w:val="Łącze internetowe"/>
    <w:rPr>
      <w:color w:val="00008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Tekstpodstawowy21">
    <w:name w:val="Tekst podstawowy 21"/>
    <w:basedOn w:val="Normal"/>
    <w:qFormat/>
    <w:pPr/>
    <w:rPr>
      <w:rFonts w:ascii="Arial Black" w:hAnsi="Arial Black" w:cs="Arial Black"/>
      <w:szCs w:val="20"/>
    </w:rPr>
  </w:style>
  <w:style w:type="paragraph" w:styleId="Tekstpodstawowy31">
    <w:name w:val="Tekst podstawowy 31"/>
    <w:basedOn w:val="Normal"/>
    <w:qFormat/>
    <w:pPr>
      <w:jc w:val="both"/>
    </w:pPr>
    <w:rPr>
      <w:rFonts w:ascii="Arial Black" w:hAnsi="Arial Black" w:cs="Arial Black"/>
      <w:szCs w:val="20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Subtitle"/>
    <w:basedOn w:val="Nagwek11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Application>LibreOffice/6.3.2.2$Windows_X86_64 LibreOffice_project/98b30e735bda24bc04ab42594c85f7fd8be07b9c</Application>
  <Pages>6</Pages>
  <Words>1104</Words>
  <Characters>6977</Characters>
  <CharactersWithSpaces>8372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2020-07-28T12:28:24Z</cp:lastPrinted>
  <dcterms:modified xsi:type="dcterms:W3CDTF">2020-08-19T11:48:35Z</dcterms:modified>
  <cp:revision>52</cp:revision>
  <dc:subject/>
  <dc:title/>
</cp:coreProperties>
</file>